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overflowPunct w:val="0"/>
        <w:topLinePunct w:val="0"/>
        <w:autoSpaceDE w:val="0"/>
        <w:autoSpaceDN w:val="0"/>
        <w:bidi w:val="0"/>
        <w:adjustRightInd w:val="0"/>
        <w:snapToGrid w:val="0"/>
        <w:spacing w:line="240" w:lineRule="auto"/>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lang w:val="en-US" w:eastAsia="zh-CN"/>
        </w:rPr>
        <w:t>21</w:t>
      </w:r>
      <w:r>
        <w:rPr>
          <w:rFonts w:ascii="Arial" w:hAnsi="Arial" w:eastAsia="宋体"/>
          <w:b/>
          <w:bCs/>
          <w:sz w:val="24"/>
          <w:lang w:val="en-GB" w:eastAsia="ja-JP"/>
        </w:rPr>
        <w:tab/>
      </w:r>
      <w:r>
        <w:rPr>
          <w:rFonts w:hint="eastAsia" w:ascii="Arial" w:hAnsi="Arial" w:eastAsia="宋体"/>
          <w:b/>
          <w:bCs/>
          <w:sz w:val="24"/>
          <w:lang w:val="en-GB" w:eastAsia="ja-JP"/>
        </w:rPr>
        <w:t>R2-2</w:t>
      </w:r>
      <w:r>
        <w:rPr>
          <w:rFonts w:hint="eastAsia" w:ascii="Arial" w:hAnsi="Arial" w:eastAsia="宋体"/>
          <w:b/>
          <w:bCs/>
          <w:sz w:val="24"/>
          <w:lang w:val="en-US" w:eastAsia="zh-CN"/>
        </w:rPr>
        <w:t>301222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Athens, Greece, February-March, 202</w:t>
      </w:r>
      <w:r>
        <w:rPr>
          <w:rFonts w:hint="eastAsia" w:ascii="Arial" w:hAnsi="Arial" w:eastAsia="宋体" w:cs="Times New Roman"/>
          <w:b/>
          <w:bCs/>
          <w:sz w:val="24"/>
          <w:szCs w:val="24"/>
          <w:lang w:val="en-US" w:eastAsia="zh-CN" w:bidi="ar-SA"/>
        </w:rPr>
        <w:t>3</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 UAV identification broadcast</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8.8.5</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default" w:ascii="Times New Roman" w:hAnsi="Times New Roman" w:cs="Times New Roman"/>
          <w:b w:val="0"/>
          <w:bCs w:val="0"/>
          <w:sz w:val="22"/>
          <w:szCs w:val="22"/>
          <w:lang w:val="en-US" w:eastAsia="zh-CN"/>
        </w:rPr>
      </w:pPr>
      <w:bookmarkStart w:id="2" w:name="OLE_LINK1"/>
      <w:r>
        <w:rPr>
          <w:rFonts w:hint="eastAsia" w:ascii="Times New Roman" w:hAnsi="Times New Roman" w:cs="Times New Roman"/>
          <w:b w:val="0"/>
          <w:bCs w:val="0"/>
          <w:sz w:val="22"/>
          <w:szCs w:val="22"/>
          <w:lang w:val="en-US" w:eastAsia="zh-CN"/>
        </w:rPr>
        <w:t>The objective related to UAV identification broadcast that is updated in the latest WID</w:t>
      </w:r>
      <w:r>
        <w:rPr>
          <w:rFonts w:hint="eastAsia" w:cs="Times New Roman"/>
          <w:b w:val="0"/>
          <w:bCs w:val="0"/>
          <w:sz w:val="22"/>
          <w:szCs w:val="22"/>
          <w:lang w:val="en-US" w:eastAsia="zh-CN"/>
        </w:rPr>
        <w:t xml:space="preserve"> [1]</w:t>
      </w:r>
      <w:r>
        <w:rPr>
          <w:rFonts w:hint="eastAsia" w:ascii="Times New Roman" w:hAnsi="Times New Roman" w:cs="Times New Roman"/>
          <w:b w:val="0"/>
          <w:bCs w:val="0"/>
          <w:sz w:val="22"/>
          <w:szCs w:val="22"/>
          <w:lang w:val="en-US" w:eastAsia="zh-CN"/>
        </w:rPr>
        <w:t xml:space="preserve">. This contribution provides initial consideration </w:t>
      </w:r>
      <w:r>
        <w:rPr>
          <w:rFonts w:hint="eastAsia" w:cs="Times New Roman"/>
          <w:b w:val="0"/>
          <w:bCs w:val="0"/>
          <w:sz w:val="22"/>
          <w:szCs w:val="22"/>
          <w:lang w:val="en-US" w:eastAsia="zh-CN"/>
        </w:rPr>
        <w:t>on the support of UAV identification broadcast.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pageBreakBefore w:val="0"/>
              <w:kinsoku/>
              <w:wordWrap/>
              <w:overflowPunct/>
              <w:topLinePunct w:val="0"/>
              <w:autoSpaceDE/>
              <w:autoSpaceDN/>
              <w:bidi w:val="0"/>
              <w:adjustRightInd/>
              <w:snapToGrid w:val="0"/>
              <w:spacing w:after="0" w:line="240" w:lineRule="auto"/>
              <w:textAlignment w:val="auto"/>
              <w:rPr>
                <w:rFonts w:hint="default"/>
                <w:b/>
                <w:bCs/>
                <w:sz w:val="22"/>
                <w:szCs w:val="22"/>
                <w:vertAlign w:val="baseline"/>
                <w:lang w:val="en-US" w:eastAsia="zh-CN"/>
              </w:rPr>
            </w:pPr>
            <w:r>
              <w:rPr>
                <w:rStyle w:val="62"/>
                <w:i w:val="0"/>
                <w:lang w:val="en-US"/>
              </w:rPr>
              <w:t xml:space="preserve">3. Study and specify, if needed, </w:t>
            </w:r>
            <w:r>
              <w:rPr>
                <w:rStyle w:val="62"/>
                <w:i w:val="0"/>
                <w:highlight w:val="none"/>
                <w:lang w:val="en-US"/>
              </w:rPr>
              <w:t xml:space="preserve">enhancements </w:t>
            </w:r>
            <w:r>
              <w:rPr>
                <w:highlight w:val="none"/>
                <w:lang w:val="en-US" w:eastAsia="fi-FI"/>
              </w:rPr>
              <w:t>t</w:t>
            </w:r>
            <w:r>
              <w:rPr>
                <w:lang w:val="en-US" w:eastAsia="fi-FI"/>
              </w:rPr>
              <w:t>o NR PC5 and LTE PC5 to support UAV identification broadcast [RAN2]. Check at RAN#99 for further elaboration of this objective, based on RAN2 discussions and SA2 development. Note: This objective is not intended to introduce new band(s) with support for the PC5 interface. UAV use of LTE PC5 or NR PC5 is not addressing any operator licensed band.</w:t>
            </w:r>
          </w:p>
        </w:tc>
      </w:tr>
    </w:tbl>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eastAsia" w:cs="Times New Roman"/>
          <w:b w:val="0"/>
          <w:bCs w:val="0"/>
          <w:sz w:val="21"/>
          <w:szCs w:val="21"/>
          <w:lang w:val="en-US" w:eastAsia="zh-CN"/>
        </w:rPr>
      </w:pPr>
      <w:r>
        <w:rPr>
          <w:rFonts w:hint="eastAsia" w:ascii="Times New Roman" w:hAnsi="Times New Roman" w:cs="Times New Roman"/>
          <w:b w:val="0"/>
          <w:bCs w:val="0"/>
          <w:sz w:val="21"/>
          <w:szCs w:val="21"/>
          <w:lang w:val="en-US" w:eastAsia="zh-CN"/>
        </w:rPr>
        <w:t>One issue related to using NR PC5 and LTE PC5 for UAV identification broadcast is the spectrum used for this scenario</w:t>
      </w:r>
      <w:r>
        <w:rPr>
          <w:rFonts w:hint="eastAsia" w:cs="Times New Roman"/>
          <w:b w:val="0"/>
          <w:bCs w:val="0"/>
          <w:sz w:val="21"/>
          <w:szCs w:val="21"/>
          <w:lang w:val="en-US" w:eastAsia="zh-CN"/>
        </w:rPr>
        <w:t>. There are some strong concerns on potential interference caused by UAV identification broadcast when UAV UE is flying in high altitude. In this case, the UAV UE is in LOS condition and PC5 broadcast may cause strong interference to neighboring gNBs. Per our understanding, that</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why the WID says </w:t>
      </w:r>
      <w:r>
        <w:rPr>
          <w:rFonts w:hint="default" w:cs="Times New Roman"/>
          <w:b w:val="0"/>
          <w:bCs w:val="0"/>
          <w:sz w:val="21"/>
          <w:szCs w:val="21"/>
          <w:lang w:val="en-US" w:eastAsia="zh-CN"/>
        </w:rPr>
        <w:t>“</w:t>
      </w:r>
      <w:r>
        <w:rPr>
          <w:rFonts w:hint="eastAsia" w:cs="Times New Roman"/>
          <w:b w:val="0"/>
          <w:bCs w:val="0"/>
          <w:sz w:val="21"/>
          <w:szCs w:val="21"/>
          <w:lang w:val="en-US" w:eastAsia="zh-CN"/>
        </w:rPr>
        <w:t>UAV use of LTE PC5 or NR PC5 is not addressing any operator licensed band</w:t>
      </w:r>
      <w:r>
        <w:rPr>
          <w:rFonts w:hint="default" w:cs="Times New Roman"/>
          <w:b w:val="0"/>
          <w:bCs w:val="0"/>
          <w:sz w:val="21"/>
          <w:szCs w:val="21"/>
          <w:lang w:val="en-US" w:eastAsia="zh-CN"/>
        </w:rPr>
        <w:t>”</w:t>
      </w:r>
      <w:r>
        <w:rPr>
          <w:rFonts w:hint="eastAsia"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However, it is unclear whether unlicensed spectrum can be used for LTE PC5 and NR PC5. Before discussion any impact or enhancements to LTE and NR PC5, RAN2 needs to confirm the feasibility of using unlicensed spectrum for UAV ID broadcast.</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default"/>
          <w:b/>
          <w:bCs/>
          <w:color w:val="auto"/>
          <w:sz w:val="21"/>
          <w:szCs w:val="21"/>
          <w:lang w:val="en-US" w:eastAsia="zh-CN"/>
        </w:rPr>
      </w:pPr>
      <w:r>
        <w:rPr>
          <w:rFonts w:hint="eastAsia"/>
          <w:b/>
          <w:bCs/>
          <w:color w:val="auto"/>
          <w:sz w:val="21"/>
          <w:szCs w:val="21"/>
          <w:lang w:val="en-US" w:eastAsia="zh-CN"/>
        </w:rPr>
        <w:t>Proposal 1: RAN2 to confirm the feasibility of using unlicensed band for UAV identification broadcast with NR PC5 and LTE PC5</w:t>
      </w:r>
    </w:p>
    <w:p>
      <w:pPr>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In the solution in SA2 study for UAV ID broadcast using NR PC5 and LTE PC5 [2], it is indicated that broadcast communication mode used for BRID (i.e.UAV ID broadcast). RAN2 may need to firstly confirm that LTE PC5 and NR PC5 broadcast communication mode is used for UAV ID broadcast.</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default"/>
          <w:b/>
          <w:bCs/>
          <w:color w:val="auto"/>
          <w:sz w:val="21"/>
          <w:szCs w:val="21"/>
          <w:lang w:val="en-US" w:eastAsia="zh-CN"/>
        </w:rPr>
      </w:pPr>
      <w:r>
        <w:rPr>
          <w:rFonts w:hint="eastAsia"/>
          <w:b/>
          <w:bCs/>
          <w:color w:val="auto"/>
          <w:sz w:val="21"/>
          <w:szCs w:val="21"/>
          <w:lang w:val="en-US" w:eastAsia="zh-CN"/>
        </w:rPr>
        <w:t>Proposal 2: RAN2 to confirm that LTE PC5 and NR PC5 broadcast communication mode is used for UAV ID broadcast.</w:t>
      </w:r>
    </w:p>
    <w:p>
      <w:pPr>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Further, sidelink communication support both in-coverage and out-of-coverage sidelink communication, and 2 resource allocation schemes [3]:</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keepLines/>
              <w:pageBreakBefore w:val="0"/>
              <w:pBdr>
                <w:top w:val="none" w:color="auto" w:sz="0" w:space="0"/>
              </w:pBdr>
              <w:kinsoku/>
              <w:wordWrap/>
              <w:overflowPunct w:val="0"/>
              <w:topLinePunct w:val="0"/>
              <w:autoSpaceDE w:val="0"/>
              <w:autoSpaceDN w:val="0"/>
              <w:bidi w:val="0"/>
              <w:adjustRightInd w:val="0"/>
              <w:snapToGrid w:val="0"/>
              <w:spacing w:before="120" w:after="180"/>
              <w:ind w:left="1134" w:hanging="1134"/>
              <w:textAlignment w:val="baseline"/>
              <w:outlineLvl w:val="2"/>
              <w:rPr>
                <w:rFonts w:ascii="Arial" w:hAnsi="Arial" w:eastAsia="Times New Roman" w:cs="Times New Roman"/>
                <w:sz w:val="28"/>
                <w:lang w:val="en-GB" w:eastAsia="ja-JP" w:bidi="ar-SA"/>
              </w:rPr>
            </w:pPr>
            <w:bookmarkStart w:id="3" w:name="_Toc52551491"/>
            <w:bookmarkStart w:id="4" w:name="_Toc37232074"/>
            <w:bookmarkStart w:id="5" w:name="_Toc51971508"/>
            <w:bookmarkStart w:id="6" w:name="_Toc124536268"/>
            <w:bookmarkStart w:id="7" w:name="_Toc46502160"/>
            <w:r>
              <w:rPr>
                <w:rFonts w:ascii="Arial" w:hAnsi="Arial" w:eastAsia="Times New Roman" w:cs="Times New Roman"/>
                <w:sz w:val="28"/>
                <w:lang w:val="en-GB" w:eastAsia="ja-JP" w:bidi="ar-SA"/>
              </w:rPr>
              <w:t>16.9.3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Allocation</w:t>
            </w:r>
            <w:bookmarkEnd w:id="3"/>
            <w:bookmarkEnd w:id="4"/>
            <w:bookmarkEnd w:id="5"/>
            <w:bookmarkEnd w:id="6"/>
            <w:bookmarkEnd w:id="7"/>
          </w:p>
          <w:p>
            <w:pPr>
              <w:keepNext/>
              <w:keepLines/>
              <w:pageBreakBefore w:val="0"/>
              <w:pBdr>
                <w:top w:val="none" w:color="auto" w:sz="0" w:space="0"/>
              </w:pBdr>
              <w:kinsoku/>
              <w:wordWrap/>
              <w:overflowPunct w:val="0"/>
              <w:topLinePunct w:val="0"/>
              <w:autoSpaceDE w:val="0"/>
              <w:autoSpaceDN w:val="0"/>
              <w:bidi w:val="0"/>
              <w:adjustRightInd w:val="0"/>
              <w:snapToGrid w:val="0"/>
              <w:spacing w:before="120" w:after="180"/>
              <w:ind w:left="1418" w:hanging="1418"/>
              <w:textAlignment w:val="baseline"/>
              <w:outlineLvl w:val="3"/>
              <w:rPr>
                <w:rFonts w:ascii="Arial" w:hAnsi="Arial" w:eastAsia="Times New Roman" w:cs="Times New Roman"/>
                <w:sz w:val="24"/>
                <w:szCs w:val="28"/>
                <w:lang w:val="en-GB" w:eastAsia="ja-JP" w:bidi="ar-SA"/>
              </w:rPr>
            </w:pPr>
            <w:bookmarkStart w:id="8" w:name="_Toc52551492"/>
            <w:bookmarkStart w:id="9" w:name="_Toc51971509"/>
            <w:bookmarkStart w:id="10" w:name="_Toc124536269"/>
            <w:bookmarkStart w:id="11" w:name="_Toc37232075"/>
            <w:bookmarkStart w:id="12" w:name="_Toc46502161"/>
            <w:r>
              <w:rPr>
                <w:rFonts w:ascii="Arial" w:hAnsi="Arial" w:eastAsia="Times New Roman" w:cs="Times New Roman"/>
                <w:sz w:val="24"/>
                <w:szCs w:val="28"/>
                <w:lang w:val="en-GB" w:eastAsia="ja-JP" w:bidi="ar-SA"/>
              </w:rPr>
              <w:t>16.9.3.1</w:t>
            </w:r>
            <w:r>
              <w:rPr>
                <w:rFonts w:ascii="Arial" w:hAnsi="Arial" w:eastAsia="Times New Roman" w:cs="Times New Roman"/>
                <w:sz w:val="24"/>
                <w:szCs w:val="28"/>
                <w:lang w:val="en-GB" w:eastAsia="ja-JP" w:bidi="ar-SA"/>
              </w:rPr>
              <w:tab/>
            </w:r>
            <w:r>
              <w:rPr>
                <w:rFonts w:ascii="Arial" w:hAnsi="Arial" w:eastAsia="Times New Roman" w:cs="Times New Roman"/>
                <w:sz w:val="24"/>
                <w:szCs w:val="28"/>
                <w:lang w:val="en-GB" w:eastAsia="ja-JP" w:bidi="ar-SA"/>
              </w:rPr>
              <w:t>General</w:t>
            </w:r>
            <w:bookmarkEnd w:id="8"/>
            <w:bookmarkEnd w:id="9"/>
            <w:bookmarkEnd w:id="10"/>
            <w:bookmarkEnd w:id="11"/>
            <w:bookmarkEnd w:id="12"/>
          </w:p>
          <w:p>
            <w:pPr>
              <w:pageBreakBefore w:val="0"/>
              <w:widowControl/>
              <w:kinsoku/>
              <w:wordWrap/>
              <w:overflowPunct w:val="0"/>
              <w:topLinePunct w:val="0"/>
              <w:autoSpaceDE w:val="0"/>
              <w:autoSpaceDN w:val="0"/>
              <w:bidi w:val="0"/>
              <w:adjustRightInd w:val="0"/>
              <w:snapToGri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宋体" w:cs="Times New Roman"/>
                <w:kern w:val="0"/>
                <w:sz w:val="20"/>
                <w:szCs w:val="20"/>
                <w:lang w:val="en-GB" w:eastAsia="ja-JP"/>
              </w:rPr>
              <w:t>For NR sidelink communication, t</w:t>
            </w:r>
            <w:r>
              <w:rPr>
                <w:rFonts w:ascii="Times New Roman" w:hAnsi="Times New Roman" w:eastAsia="Times New Roman" w:cs="Times New Roman"/>
                <w:kern w:val="0"/>
                <w:sz w:val="20"/>
                <w:szCs w:val="20"/>
                <w:lang w:val="en-GB" w:eastAsia="ja-JP"/>
              </w:rPr>
              <w:t xml:space="preserve">he UE can operate in two modes </w:t>
            </w:r>
            <w:r>
              <w:rPr>
                <w:rFonts w:ascii="Times New Roman" w:hAnsi="Times New Roman" w:eastAsia="宋体" w:cs="Times New Roman"/>
                <w:kern w:val="0"/>
                <w:sz w:val="20"/>
                <w:szCs w:val="20"/>
                <w:lang w:val="en-GB" w:eastAsia="ja-JP"/>
              </w:rPr>
              <w:t xml:space="preserve">as specified in 5.7.2 </w:t>
            </w:r>
            <w:r>
              <w:rPr>
                <w:rFonts w:ascii="Times New Roman" w:hAnsi="Times New Roman" w:eastAsia="Times New Roman" w:cs="Times New Roman"/>
                <w:kern w:val="0"/>
                <w:sz w:val="20"/>
                <w:szCs w:val="20"/>
                <w:lang w:val="en-GB" w:eastAsia="ja-JP"/>
              </w:rPr>
              <w:t>for resource allocation in sidelink:</w:t>
            </w:r>
          </w:p>
          <w:p>
            <w:pPr>
              <w:pageBreakBefore w:val="0"/>
              <w:kinsoku/>
              <w:wordWrap/>
              <w:overflowPunct w:val="0"/>
              <w:topLinePunct w:val="0"/>
              <w:autoSpaceDE w:val="0"/>
              <w:autoSpaceDN w:val="0"/>
              <w:bidi w:val="0"/>
              <w:adjustRightInd w:val="0"/>
              <w:snapToGri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Scheduled resource allocation, characterized by:</w:t>
            </w:r>
          </w:p>
          <w:p>
            <w:pPr>
              <w:pageBreakBefore w:val="0"/>
              <w:kinsoku/>
              <w:wordWrap/>
              <w:overflowPunct w:val="0"/>
              <w:topLinePunct w:val="0"/>
              <w:autoSpaceDE w:val="0"/>
              <w:autoSpaceDN w:val="0"/>
              <w:bidi w:val="0"/>
              <w:adjustRightInd w:val="0"/>
              <w:snapToGri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needs to be RRC_CONNECTED in order to transmit data;</w:t>
            </w:r>
          </w:p>
          <w:p>
            <w:pPr>
              <w:pageBreakBefore w:val="0"/>
              <w:kinsoku/>
              <w:wordWrap/>
              <w:overflowPunct w:val="0"/>
              <w:topLinePunct w:val="0"/>
              <w:autoSpaceDE w:val="0"/>
              <w:autoSpaceDN w:val="0"/>
              <w:bidi w:val="0"/>
              <w:adjustRightInd w:val="0"/>
              <w:snapToGrid w:val="0"/>
              <w:spacing w:after="180"/>
              <w:ind w:left="851" w:hanging="284"/>
              <w:textAlignment w:val="baseline"/>
              <w:rPr>
                <w:rFonts w:ascii="Times New Roman" w:hAnsi="Times New Roman" w:eastAsia="Yu Mincho"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ja-JP" w:bidi="ar-SA"/>
              </w:rPr>
              <w:t>NG-RAN schedules transmission resources.</w:t>
            </w:r>
          </w:p>
          <w:p>
            <w:pPr>
              <w:pageBreakBefore w:val="0"/>
              <w:kinsoku/>
              <w:wordWrap/>
              <w:overflowPunct w:val="0"/>
              <w:topLinePunct w:val="0"/>
              <w:autoSpaceDE w:val="0"/>
              <w:autoSpaceDN w:val="0"/>
              <w:bidi w:val="0"/>
              <w:adjustRightInd w:val="0"/>
              <w:snapToGri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UE autonomous resource selection, characterized by:</w:t>
            </w:r>
          </w:p>
          <w:p>
            <w:pPr>
              <w:pageBreakBefore w:val="0"/>
              <w:kinsoku/>
              <w:wordWrap/>
              <w:overflowPunct w:val="0"/>
              <w:topLinePunct w:val="0"/>
              <w:autoSpaceDE w:val="0"/>
              <w:autoSpaceDN w:val="0"/>
              <w:bidi w:val="0"/>
              <w:adjustRightInd w:val="0"/>
              <w:snapToGri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can transmit data when inside NG-RAN coverage, irrespective of which RRC state the UE is in, and when outside NG-RAN coverage;</w:t>
            </w:r>
          </w:p>
          <w:p>
            <w:pPr>
              <w:pageBreakBefore w:val="0"/>
              <w:kinsoku/>
              <w:wordWrap/>
              <w:overflowPunct w:val="0"/>
              <w:topLinePunct w:val="0"/>
              <w:autoSpaceDE w:val="0"/>
              <w:autoSpaceDN w:val="0"/>
              <w:bidi w:val="0"/>
              <w:adjustRightInd w:val="0"/>
              <w:snapToGri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autonomously selects transmission resources from resource pool(s).</w:t>
            </w:r>
          </w:p>
          <w:p>
            <w:pPr>
              <w:pageBreakBefore w:val="0"/>
              <w:kinsoku/>
              <w:wordWrap/>
              <w:overflowPunct w:val="0"/>
              <w:topLinePunct w:val="0"/>
              <w:autoSpaceDE w:val="0"/>
              <w:autoSpaceDN w:val="0"/>
              <w:bidi w:val="0"/>
              <w:adjustRightInd w:val="0"/>
              <w:snapToGrid w:val="0"/>
              <w:spacing w:after="180"/>
              <w:ind w:left="568" w:hanging="284"/>
              <w:textAlignment w:val="baseline"/>
              <w:rPr>
                <w:rFonts w:hint="default" w:cs="Times New Roman"/>
                <w:b w:val="0"/>
                <w:bCs w:val="0"/>
                <w:sz w:val="21"/>
                <w:szCs w:val="21"/>
                <w:vertAlign w:val="baseline"/>
                <w:lang w:val="en-US" w:eastAsia="zh-CN"/>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NR sidelink communication, the UE performs sidelink transmissions only on a single carrier.</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Per our understanding, both in-coverage and out-of-coverage should be supported for UAV ID broadcast considering the flying characteristics of UAV UE. And we also think all the existing radio resource allocation schemes can be supported. </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eastAsia"/>
          <w:b/>
          <w:bCs/>
          <w:color w:val="auto"/>
          <w:sz w:val="21"/>
          <w:szCs w:val="21"/>
          <w:lang w:val="en-US" w:eastAsia="zh-CN"/>
        </w:rPr>
      </w:pPr>
      <w:r>
        <w:rPr>
          <w:rFonts w:hint="eastAsia"/>
          <w:b/>
          <w:bCs/>
          <w:color w:val="auto"/>
          <w:sz w:val="21"/>
          <w:szCs w:val="21"/>
          <w:lang w:val="en-US" w:eastAsia="zh-CN"/>
        </w:rPr>
        <w:t>Proposal 3: RAN2 to confirm both in-coverage and out-of-coverage sidelink communication is supported for UAV ID broadcast.</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default"/>
          <w:b/>
          <w:bCs/>
          <w:color w:val="auto"/>
          <w:sz w:val="21"/>
          <w:szCs w:val="21"/>
          <w:lang w:val="en-US" w:eastAsia="zh-CN"/>
        </w:rPr>
      </w:pPr>
      <w:r>
        <w:rPr>
          <w:rFonts w:hint="eastAsia"/>
          <w:b/>
          <w:bCs/>
          <w:color w:val="auto"/>
          <w:sz w:val="21"/>
          <w:szCs w:val="21"/>
          <w:lang w:val="en-US" w:eastAsia="zh-CN"/>
        </w:rPr>
        <w:t>Proposal 4: RAN2 to confirm both scheduled resource allocation and UE autonomous resource selection are supported for UAV ID broadcast.</w:t>
      </w:r>
    </w:p>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default"/>
          <w:b/>
          <w:bCs/>
          <w:color w:val="auto"/>
          <w:sz w:val="21"/>
          <w:szCs w:val="21"/>
          <w:lang w:val="en-US" w:eastAsia="zh-CN"/>
        </w:rPr>
      </w:pPr>
      <w:r>
        <w:rPr>
          <w:rFonts w:hint="eastAsia"/>
          <w:b/>
          <w:bCs/>
          <w:color w:val="auto"/>
          <w:sz w:val="21"/>
          <w:szCs w:val="21"/>
          <w:lang w:val="en-US" w:eastAsia="zh-CN"/>
        </w:rPr>
        <w:t>Proposal 1: RAN2 to confirm the feasibility of using unlicensed band for UAV identification broadcast with NR PC5 and LTE PC5</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default"/>
          <w:b/>
          <w:bCs/>
          <w:color w:val="auto"/>
          <w:sz w:val="21"/>
          <w:szCs w:val="21"/>
          <w:lang w:val="en-US" w:eastAsia="zh-CN"/>
        </w:rPr>
      </w:pPr>
      <w:r>
        <w:rPr>
          <w:rFonts w:hint="eastAsia"/>
          <w:b/>
          <w:bCs/>
          <w:color w:val="auto"/>
          <w:sz w:val="21"/>
          <w:szCs w:val="21"/>
          <w:lang w:val="en-US" w:eastAsia="zh-CN"/>
        </w:rPr>
        <w:t>Proposal 2: RAN2 to confirm that LTE PC5 and NR PC5 broadcast communication mode is used for UAV ID broadcast.</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eastAsia"/>
          <w:b/>
          <w:bCs/>
          <w:color w:val="auto"/>
          <w:sz w:val="21"/>
          <w:szCs w:val="21"/>
          <w:lang w:val="en-US" w:eastAsia="zh-CN"/>
        </w:rPr>
      </w:pPr>
      <w:r>
        <w:rPr>
          <w:rFonts w:hint="eastAsia"/>
          <w:b/>
          <w:bCs/>
          <w:color w:val="auto"/>
          <w:sz w:val="21"/>
          <w:szCs w:val="21"/>
          <w:lang w:val="en-US" w:eastAsia="zh-CN"/>
        </w:rPr>
        <w:t>Proposal 3: RAN2 to confirm both in-coverage and out-of-coverage communication is supported for UAV ID broadcast.</w:t>
      </w:r>
    </w:p>
    <w:p>
      <w:pPr>
        <w:keepNext w:val="0"/>
        <w:keepLines w:val="0"/>
        <w:pageBreakBefore w:val="0"/>
        <w:widowControl w:val="0"/>
        <w:kinsoku/>
        <w:wordWrap/>
        <w:overflowPunct/>
        <w:topLinePunct w:val="0"/>
        <w:autoSpaceDE/>
        <w:autoSpaceDN/>
        <w:bidi w:val="0"/>
        <w:adjustRightInd/>
        <w:snapToGrid w:val="0"/>
        <w:spacing w:after="120" w:line="240" w:lineRule="auto"/>
        <w:ind w:left="1073" w:leftChars="0" w:hanging="1073" w:hangingChars="509"/>
        <w:jc w:val="left"/>
        <w:textAlignment w:val="auto"/>
        <w:rPr>
          <w:rFonts w:hint="eastAsia"/>
          <w:b/>
          <w:bCs/>
          <w:sz w:val="21"/>
          <w:szCs w:val="21"/>
          <w:lang w:val="en-US" w:eastAsia="zh-CN"/>
        </w:rPr>
      </w:pPr>
      <w:r>
        <w:rPr>
          <w:rFonts w:hint="eastAsia"/>
          <w:b/>
          <w:bCs/>
          <w:color w:val="auto"/>
          <w:sz w:val="21"/>
          <w:szCs w:val="21"/>
          <w:lang w:val="en-US" w:eastAsia="zh-CN"/>
        </w:rPr>
        <w:t>Proposal 4: RAN2 to confirm both scheduled resource allocation and UE autonomous resource selection are supported for UAV ID broadcast.</w:t>
      </w:r>
    </w:p>
    <w:p>
      <w:pPr>
        <w:pStyle w:val="2"/>
        <w:pageBreakBefore w:val="0"/>
        <w:widowControl/>
        <w:numPr>
          <w:ilvl w:val="0"/>
          <w:numId w:val="3"/>
        </w:numPr>
        <w:pBdr>
          <w:top w:val="single" w:color="auto" w:sz="12" w:space="3"/>
        </w:pBdr>
        <w:tabs>
          <w:tab w:val="clear" w:pos="432"/>
        </w:tabs>
        <w:kinsoku/>
        <w:wordWrap/>
        <w:overflowPunct w:val="0"/>
        <w:topLinePunct w:val="0"/>
        <w:autoSpaceDE w:val="0"/>
        <w:autoSpaceDN w:val="0"/>
        <w:bidi w:val="0"/>
        <w:adjustRightInd w:val="0"/>
        <w:snapToGri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numPr>
          <w:ilvl w:val="0"/>
          <w:numId w:val="4"/>
        </w:numPr>
        <w:kinsoku/>
        <w:wordWrap/>
        <w:overflowPunct/>
        <w:topLinePunct w:val="0"/>
        <w:autoSpaceDE/>
        <w:autoSpaceDN/>
        <w:bidi w:val="0"/>
        <w:adjustRightInd/>
        <w:snapToGrid w:val="0"/>
        <w:spacing w:after="120" w:line="240" w:lineRule="auto"/>
        <w:jc w:val="both"/>
        <w:textAlignment w:val="auto"/>
        <w:rPr>
          <w:rFonts w:hint="eastAsia"/>
          <w:b w:val="0"/>
          <w:bCs w:val="0"/>
          <w:sz w:val="21"/>
          <w:szCs w:val="21"/>
          <w:lang w:val="en-US" w:eastAsia="zh-CN"/>
        </w:rPr>
      </w:pPr>
      <w:r>
        <w:rPr>
          <w:rFonts w:hint="eastAsia"/>
          <w:b w:val="0"/>
          <w:bCs w:val="0"/>
          <w:sz w:val="21"/>
          <w:szCs w:val="21"/>
          <w:lang w:val="en-US" w:eastAsia="zh-CN"/>
        </w:rPr>
        <w:t>RP-223545  Revised WID: NR Support for UAV (Uncrewed Aerial Vehicles)  Nokia, Nokia Shanghai Bell</w:t>
      </w:r>
      <w:bookmarkStart w:id="13" w:name="_GoBack"/>
      <w:bookmarkEnd w:id="13"/>
    </w:p>
    <w:p>
      <w:pPr>
        <w:keepNext w:val="0"/>
        <w:keepLines w:val="0"/>
        <w:pageBreakBefore w:val="0"/>
        <w:widowControl w:val="0"/>
        <w:numPr>
          <w:ilvl w:val="0"/>
          <w:numId w:val="4"/>
        </w:numPr>
        <w:kinsoku/>
        <w:wordWrap/>
        <w:overflowPunct/>
        <w:topLinePunct w:val="0"/>
        <w:autoSpaceDE/>
        <w:autoSpaceDN/>
        <w:bidi w:val="0"/>
        <w:adjustRightInd/>
        <w:snapToGrid w:val="0"/>
        <w:spacing w:after="120" w:line="240" w:lineRule="auto"/>
        <w:jc w:val="both"/>
        <w:textAlignment w:val="auto"/>
        <w:rPr>
          <w:rFonts w:hint="default"/>
          <w:b w:val="0"/>
          <w:bCs w:val="0"/>
          <w:sz w:val="21"/>
          <w:szCs w:val="21"/>
          <w:lang w:val="en-US" w:eastAsia="zh-CN"/>
        </w:rPr>
      </w:pPr>
      <w:r>
        <w:rPr>
          <w:rFonts w:hint="eastAsia"/>
          <w:b w:val="0"/>
          <w:bCs w:val="0"/>
          <w:sz w:val="21"/>
          <w:szCs w:val="21"/>
          <w:lang w:val="en-US" w:eastAsia="zh-CN"/>
        </w:rPr>
        <w:t>TR 23.700-85</w:t>
      </w:r>
    </w:p>
    <w:p>
      <w:pPr>
        <w:keepNext w:val="0"/>
        <w:keepLines w:val="0"/>
        <w:pageBreakBefore w:val="0"/>
        <w:widowControl w:val="0"/>
        <w:numPr>
          <w:ilvl w:val="0"/>
          <w:numId w:val="4"/>
        </w:numPr>
        <w:kinsoku/>
        <w:wordWrap/>
        <w:overflowPunct/>
        <w:topLinePunct w:val="0"/>
        <w:autoSpaceDE/>
        <w:autoSpaceDN/>
        <w:bidi w:val="0"/>
        <w:adjustRightInd/>
        <w:snapToGrid w:val="0"/>
        <w:spacing w:after="120" w:line="240" w:lineRule="auto"/>
        <w:jc w:val="both"/>
        <w:textAlignment w:val="auto"/>
        <w:rPr>
          <w:rFonts w:hint="default"/>
          <w:b w:val="0"/>
          <w:bCs w:val="0"/>
          <w:sz w:val="21"/>
          <w:szCs w:val="21"/>
          <w:lang w:val="en-US" w:eastAsia="zh-CN"/>
        </w:rPr>
      </w:pPr>
      <w:r>
        <w:rPr>
          <w:rFonts w:hint="eastAsia"/>
          <w:b w:val="0"/>
          <w:bCs w:val="0"/>
          <w:sz w:val="21"/>
          <w:szCs w:val="21"/>
          <w:lang w:val="en-US" w:eastAsia="zh-CN"/>
        </w:rPr>
        <w:t xml:space="preserve">TS 38.300 </w:t>
      </w:r>
    </w:p>
    <w:sectPr>
      <w:pgSz w:w="11906" w:h="16838"/>
      <w:pgMar w:top="1440" w:right="975"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A5BBC91"/>
    <w:multiLevelType w:val="singleLevel"/>
    <w:tmpl w:val="0A5BBC91"/>
    <w:lvl w:ilvl="0" w:tentative="0">
      <w:start w:val="1"/>
      <w:numFmt w:val="decimal"/>
      <w:suff w:val="space"/>
      <w:lvlText w:val="[%1]"/>
      <w:lvlJc w:val="left"/>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0"/>
  <w:bordersDoNotSurroundFooter w:val="0"/>
  <w:documentProtection w:enforcement="0"/>
  <w:defaultTabStop w:val="420"/>
  <w:hyphenationZone w:val="28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1F87CA8"/>
    <w:rsid w:val="02017286"/>
    <w:rsid w:val="02115596"/>
    <w:rsid w:val="0212463B"/>
    <w:rsid w:val="02142423"/>
    <w:rsid w:val="02145888"/>
    <w:rsid w:val="021627D8"/>
    <w:rsid w:val="02193BD4"/>
    <w:rsid w:val="022C4B5A"/>
    <w:rsid w:val="022D295E"/>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8290E"/>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C75860"/>
    <w:rsid w:val="04EB5671"/>
    <w:rsid w:val="04ED36E0"/>
    <w:rsid w:val="04FB5FD2"/>
    <w:rsid w:val="050C31AF"/>
    <w:rsid w:val="05174168"/>
    <w:rsid w:val="051A0175"/>
    <w:rsid w:val="051E36E6"/>
    <w:rsid w:val="0526323F"/>
    <w:rsid w:val="053166CA"/>
    <w:rsid w:val="05332C41"/>
    <w:rsid w:val="054C7D3F"/>
    <w:rsid w:val="054D4214"/>
    <w:rsid w:val="05526E77"/>
    <w:rsid w:val="056D39BD"/>
    <w:rsid w:val="058267E3"/>
    <w:rsid w:val="058442CB"/>
    <w:rsid w:val="05961927"/>
    <w:rsid w:val="05AE79A1"/>
    <w:rsid w:val="05B21BDC"/>
    <w:rsid w:val="05D1713F"/>
    <w:rsid w:val="05D92123"/>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2E5CD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D382E"/>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F257F"/>
    <w:rsid w:val="09607DCD"/>
    <w:rsid w:val="096B1E85"/>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0129C"/>
    <w:rsid w:val="0B3522E3"/>
    <w:rsid w:val="0B3A6177"/>
    <w:rsid w:val="0B3E2EDB"/>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56654"/>
    <w:rsid w:val="0C0F2FEF"/>
    <w:rsid w:val="0C115C01"/>
    <w:rsid w:val="0C1958D4"/>
    <w:rsid w:val="0C21687B"/>
    <w:rsid w:val="0C221921"/>
    <w:rsid w:val="0C2B7B6C"/>
    <w:rsid w:val="0C35257F"/>
    <w:rsid w:val="0C42193D"/>
    <w:rsid w:val="0C4E0C6C"/>
    <w:rsid w:val="0C5C4277"/>
    <w:rsid w:val="0C681DEB"/>
    <w:rsid w:val="0C70637B"/>
    <w:rsid w:val="0C710975"/>
    <w:rsid w:val="0C7A6655"/>
    <w:rsid w:val="0C7D69BF"/>
    <w:rsid w:val="0C831603"/>
    <w:rsid w:val="0C97562A"/>
    <w:rsid w:val="0CB47222"/>
    <w:rsid w:val="0CB5613D"/>
    <w:rsid w:val="0CCA31B6"/>
    <w:rsid w:val="0CCE60AE"/>
    <w:rsid w:val="0CD61581"/>
    <w:rsid w:val="0CE2368A"/>
    <w:rsid w:val="0CE55396"/>
    <w:rsid w:val="0CF31DF7"/>
    <w:rsid w:val="0CF40AF8"/>
    <w:rsid w:val="0D041213"/>
    <w:rsid w:val="0D1F6EAF"/>
    <w:rsid w:val="0D2C3BFA"/>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7FF8"/>
    <w:rsid w:val="10E925AB"/>
    <w:rsid w:val="110651DD"/>
    <w:rsid w:val="110A40E9"/>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9E7EAE"/>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80990"/>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7743"/>
    <w:rsid w:val="160F2C35"/>
    <w:rsid w:val="161C2166"/>
    <w:rsid w:val="16203964"/>
    <w:rsid w:val="162810CA"/>
    <w:rsid w:val="16314D23"/>
    <w:rsid w:val="16326F8F"/>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B3A7D"/>
    <w:rsid w:val="175454DC"/>
    <w:rsid w:val="17636FAF"/>
    <w:rsid w:val="17702879"/>
    <w:rsid w:val="177761B3"/>
    <w:rsid w:val="177B281C"/>
    <w:rsid w:val="178424FA"/>
    <w:rsid w:val="178D2C84"/>
    <w:rsid w:val="178D7F71"/>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6D30BE"/>
    <w:rsid w:val="19B00ED9"/>
    <w:rsid w:val="19B56E5D"/>
    <w:rsid w:val="19B93C2B"/>
    <w:rsid w:val="19BD310F"/>
    <w:rsid w:val="19CB397F"/>
    <w:rsid w:val="19D74D72"/>
    <w:rsid w:val="19D9306B"/>
    <w:rsid w:val="19EA15B3"/>
    <w:rsid w:val="19F5126C"/>
    <w:rsid w:val="19F5578B"/>
    <w:rsid w:val="19FA1601"/>
    <w:rsid w:val="19FC4936"/>
    <w:rsid w:val="1A112EAE"/>
    <w:rsid w:val="1A164C1F"/>
    <w:rsid w:val="1A1D6630"/>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E29BC"/>
    <w:rsid w:val="1E721FE6"/>
    <w:rsid w:val="1E805926"/>
    <w:rsid w:val="1E842EE0"/>
    <w:rsid w:val="1E88579D"/>
    <w:rsid w:val="1E897C5E"/>
    <w:rsid w:val="1EA5131C"/>
    <w:rsid w:val="1EAC0652"/>
    <w:rsid w:val="1EB33F98"/>
    <w:rsid w:val="1EB46E41"/>
    <w:rsid w:val="1EBB708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26704"/>
    <w:rsid w:val="223332AD"/>
    <w:rsid w:val="223F2906"/>
    <w:rsid w:val="22460F19"/>
    <w:rsid w:val="224658C4"/>
    <w:rsid w:val="225B7D5B"/>
    <w:rsid w:val="226F2366"/>
    <w:rsid w:val="227167CA"/>
    <w:rsid w:val="22727FD0"/>
    <w:rsid w:val="227B0B71"/>
    <w:rsid w:val="22805B8B"/>
    <w:rsid w:val="228135D1"/>
    <w:rsid w:val="2281465F"/>
    <w:rsid w:val="228726EF"/>
    <w:rsid w:val="22A13519"/>
    <w:rsid w:val="22AC12DA"/>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AC0275"/>
    <w:rsid w:val="26BC4331"/>
    <w:rsid w:val="26BF485A"/>
    <w:rsid w:val="26E32255"/>
    <w:rsid w:val="26EA75CE"/>
    <w:rsid w:val="26EC6E10"/>
    <w:rsid w:val="26EF32CA"/>
    <w:rsid w:val="26F061C9"/>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C1D69"/>
    <w:rsid w:val="2BBF1E23"/>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6C427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07A1D"/>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45F18"/>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187C1B"/>
    <w:rsid w:val="331B6EDE"/>
    <w:rsid w:val="332722F8"/>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0F2BEC"/>
    <w:rsid w:val="341E6F75"/>
    <w:rsid w:val="341E76A7"/>
    <w:rsid w:val="342245A0"/>
    <w:rsid w:val="34243808"/>
    <w:rsid w:val="34283065"/>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52AFF"/>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7698E"/>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DF70DDB"/>
    <w:rsid w:val="3E006C5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14E03"/>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5675"/>
    <w:rsid w:val="424F7E66"/>
    <w:rsid w:val="425024B5"/>
    <w:rsid w:val="4279133E"/>
    <w:rsid w:val="427B56B5"/>
    <w:rsid w:val="42850BB4"/>
    <w:rsid w:val="429F4867"/>
    <w:rsid w:val="42A31ABC"/>
    <w:rsid w:val="42B876D7"/>
    <w:rsid w:val="42C12743"/>
    <w:rsid w:val="42C37F87"/>
    <w:rsid w:val="42C41CFF"/>
    <w:rsid w:val="42D44C59"/>
    <w:rsid w:val="42DC7FA5"/>
    <w:rsid w:val="42DE73EB"/>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1EAB"/>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30797B"/>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E7EAB"/>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80924"/>
    <w:rsid w:val="4A2B1DEA"/>
    <w:rsid w:val="4A2D0F49"/>
    <w:rsid w:val="4A3523B2"/>
    <w:rsid w:val="4A443451"/>
    <w:rsid w:val="4A483D90"/>
    <w:rsid w:val="4A5A367C"/>
    <w:rsid w:val="4A615695"/>
    <w:rsid w:val="4A6E3633"/>
    <w:rsid w:val="4A712BA0"/>
    <w:rsid w:val="4A7A21C8"/>
    <w:rsid w:val="4A7E3DFF"/>
    <w:rsid w:val="4A86569C"/>
    <w:rsid w:val="4A9A792C"/>
    <w:rsid w:val="4A9C373F"/>
    <w:rsid w:val="4AA56938"/>
    <w:rsid w:val="4AAE33D4"/>
    <w:rsid w:val="4ABD625F"/>
    <w:rsid w:val="4AC01D67"/>
    <w:rsid w:val="4AC80764"/>
    <w:rsid w:val="4AE378B3"/>
    <w:rsid w:val="4AEB5D56"/>
    <w:rsid w:val="4AF517F5"/>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5654D"/>
    <w:rsid w:val="4B967ECC"/>
    <w:rsid w:val="4B9801F4"/>
    <w:rsid w:val="4BAA574F"/>
    <w:rsid w:val="4BAB1B30"/>
    <w:rsid w:val="4BBE5648"/>
    <w:rsid w:val="4BD70D0D"/>
    <w:rsid w:val="4BE55BB9"/>
    <w:rsid w:val="4BE75CB2"/>
    <w:rsid w:val="4BEE16DF"/>
    <w:rsid w:val="4BF2074E"/>
    <w:rsid w:val="4C0F5E43"/>
    <w:rsid w:val="4C10363F"/>
    <w:rsid w:val="4C23594D"/>
    <w:rsid w:val="4C2941CA"/>
    <w:rsid w:val="4C2E7524"/>
    <w:rsid w:val="4C3729C6"/>
    <w:rsid w:val="4C380520"/>
    <w:rsid w:val="4C3979DB"/>
    <w:rsid w:val="4C3D2514"/>
    <w:rsid w:val="4C3E0FF7"/>
    <w:rsid w:val="4C4128E4"/>
    <w:rsid w:val="4C423AC8"/>
    <w:rsid w:val="4C642696"/>
    <w:rsid w:val="4C702E79"/>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401FBB"/>
    <w:rsid w:val="4F4F565B"/>
    <w:rsid w:val="4F531102"/>
    <w:rsid w:val="4F576D7F"/>
    <w:rsid w:val="4F5A4BC4"/>
    <w:rsid w:val="4F5C4001"/>
    <w:rsid w:val="4F626555"/>
    <w:rsid w:val="4F7933F9"/>
    <w:rsid w:val="4F7B2A3C"/>
    <w:rsid w:val="4F8144A4"/>
    <w:rsid w:val="4F8731AB"/>
    <w:rsid w:val="4F903087"/>
    <w:rsid w:val="4FA80752"/>
    <w:rsid w:val="4FAD3702"/>
    <w:rsid w:val="4FB23F6E"/>
    <w:rsid w:val="4FC27020"/>
    <w:rsid w:val="4FC6748D"/>
    <w:rsid w:val="4FD04355"/>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C0B8D"/>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509EC"/>
    <w:rsid w:val="54D73DC0"/>
    <w:rsid w:val="54D94CB6"/>
    <w:rsid w:val="54DB3A57"/>
    <w:rsid w:val="54EA5084"/>
    <w:rsid w:val="55093E22"/>
    <w:rsid w:val="553266E7"/>
    <w:rsid w:val="553413DD"/>
    <w:rsid w:val="55367F4D"/>
    <w:rsid w:val="553A13A9"/>
    <w:rsid w:val="55440B0E"/>
    <w:rsid w:val="55444902"/>
    <w:rsid w:val="55494A31"/>
    <w:rsid w:val="554B1F27"/>
    <w:rsid w:val="555B6982"/>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B298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A0CB8"/>
    <w:rsid w:val="599A32E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300C7B"/>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D3088F"/>
    <w:rsid w:val="5DF242AA"/>
    <w:rsid w:val="5DF27D5A"/>
    <w:rsid w:val="5DF90388"/>
    <w:rsid w:val="5DFF1CA4"/>
    <w:rsid w:val="5E033F14"/>
    <w:rsid w:val="5E035DFF"/>
    <w:rsid w:val="5E040059"/>
    <w:rsid w:val="5E0603B6"/>
    <w:rsid w:val="5E084C7B"/>
    <w:rsid w:val="5E0914A4"/>
    <w:rsid w:val="5E0A5C5D"/>
    <w:rsid w:val="5E132175"/>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B1EE0"/>
    <w:rsid w:val="667E1BDC"/>
    <w:rsid w:val="66843C27"/>
    <w:rsid w:val="668A358B"/>
    <w:rsid w:val="669F2DBA"/>
    <w:rsid w:val="66A22294"/>
    <w:rsid w:val="66B167D9"/>
    <w:rsid w:val="66B718F6"/>
    <w:rsid w:val="66B77C96"/>
    <w:rsid w:val="66C6028C"/>
    <w:rsid w:val="66DD03BD"/>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76FFE"/>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7D3ED3"/>
    <w:rsid w:val="68847A53"/>
    <w:rsid w:val="68910854"/>
    <w:rsid w:val="68972F63"/>
    <w:rsid w:val="68A208F6"/>
    <w:rsid w:val="68A864AF"/>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31B2F"/>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37C0"/>
    <w:rsid w:val="6C866650"/>
    <w:rsid w:val="6CA95B69"/>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7D0E61"/>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241135"/>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3E0186"/>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A5E3D"/>
    <w:rsid w:val="7C3D63E5"/>
    <w:rsid w:val="7C6762E3"/>
    <w:rsid w:val="7C6F2369"/>
    <w:rsid w:val="7C8A0A6B"/>
    <w:rsid w:val="7C8C2941"/>
    <w:rsid w:val="7C8C4745"/>
    <w:rsid w:val="7C930BAE"/>
    <w:rsid w:val="7CA53844"/>
    <w:rsid w:val="7CBD7BFA"/>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71B65"/>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0D35"/>
    <w:rsid w:val="7E1B1677"/>
    <w:rsid w:val="7E1B4DBE"/>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7</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ZMJ</cp:lastModifiedBy>
  <cp:lastPrinted>2113-01-01T00:00:00Z</cp:lastPrinted>
  <dcterms:modified xsi:type="dcterms:W3CDTF">2023-02-17T08:32:17Z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